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1EE33" w14:textId="75E3D686" w:rsidR="0090669B" w:rsidRDefault="0090669B" w:rsidP="009066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Ref462675860"/>
      <w:r>
        <w:rPr>
          <w:b/>
          <w:noProof/>
          <w:sz w:val="24"/>
        </w:rPr>
        <w:t>3GPP TSG-</w:t>
      </w:r>
      <w:r w:rsidR="002C74BB">
        <w:fldChar w:fldCharType="begin"/>
      </w:r>
      <w:r w:rsidR="002C74BB">
        <w:instrText xml:space="preserve"> DOCPROPERTY  TSG/WGRef  \* MERGEFORMAT </w:instrText>
      </w:r>
      <w:r w:rsidR="002C74BB">
        <w:fldChar w:fldCharType="separate"/>
      </w:r>
      <w:r>
        <w:rPr>
          <w:b/>
          <w:noProof/>
          <w:sz w:val="24"/>
        </w:rPr>
        <w:t>WG4</w:t>
      </w:r>
      <w:r w:rsidR="002C74B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C74BB">
        <w:fldChar w:fldCharType="begin"/>
      </w:r>
      <w:r w:rsidR="002C74BB">
        <w:instrText xml:space="preserve"> DOCPROPERTY  MtgSeq  \* MERGEFORMAT </w:instrText>
      </w:r>
      <w:r w:rsidR="002C74BB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111</w:t>
      </w:r>
      <w:r w:rsidR="002C74B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74BB" w:rsidRPr="007B71D9">
        <w:rPr>
          <w:b/>
          <w:noProof/>
          <w:sz w:val="24"/>
        </w:rPr>
        <w:fldChar w:fldCharType="begin"/>
      </w:r>
      <w:r w:rsidR="002C74BB" w:rsidRPr="007B71D9">
        <w:rPr>
          <w:b/>
          <w:noProof/>
          <w:sz w:val="24"/>
        </w:rPr>
        <w:instrText xml:space="preserve"> DOCPROPERTY  Tdoc#  \* MERGEFORMAT </w:instrText>
      </w:r>
      <w:r w:rsidR="002C74BB" w:rsidRPr="007B71D9">
        <w:rPr>
          <w:b/>
          <w:noProof/>
          <w:sz w:val="24"/>
        </w:rPr>
        <w:fldChar w:fldCharType="separate"/>
      </w:r>
      <w:r w:rsidRPr="007B71D9">
        <w:rPr>
          <w:b/>
          <w:noProof/>
          <w:sz w:val="24"/>
        </w:rPr>
        <w:t xml:space="preserve"> </w:t>
      </w:r>
      <w:r w:rsidR="007B71D9" w:rsidRPr="007B71D9">
        <w:rPr>
          <w:b/>
          <w:noProof/>
          <w:sz w:val="24"/>
        </w:rPr>
        <w:t>R4-2408400</w:t>
      </w:r>
      <w:r w:rsidRPr="005F3183">
        <w:rPr>
          <w:b/>
          <w:i/>
          <w:noProof/>
          <w:sz w:val="28"/>
        </w:rPr>
        <w:t xml:space="preserve"> </w:t>
      </w:r>
      <w:r w:rsidR="002C74BB">
        <w:rPr>
          <w:b/>
          <w:i/>
          <w:noProof/>
          <w:sz w:val="28"/>
        </w:rPr>
        <w:fldChar w:fldCharType="end"/>
      </w:r>
    </w:p>
    <w:p w14:paraId="51138BC1" w14:textId="5FA4D42E" w:rsidR="00A37CEF" w:rsidRPr="0090669B" w:rsidRDefault="0090669B" w:rsidP="0090669B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>
        <w:rPr>
          <w:rFonts w:ascii="Arial" w:hAnsi="Arial"/>
          <w:b/>
          <w:bCs/>
          <w:sz w:val="24"/>
          <w:szCs w:val="24"/>
        </w:rPr>
        <w:t>Fukuoka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Japan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 xml:space="preserve">20 </w:t>
      </w:r>
      <w:r w:rsidRPr="00151594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24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151594">
        <w:rPr>
          <w:rFonts w:ascii="Arial" w:hAnsi="Arial"/>
          <w:b/>
          <w:bCs/>
          <w:sz w:val="24"/>
          <w:szCs w:val="24"/>
        </w:rPr>
        <w:t xml:space="preserve"> </w:t>
      </w:r>
      <w:r w:rsidRPr="00B64708">
        <w:rPr>
          <w:rFonts w:ascii="Arial" w:hAnsi="Arial"/>
          <w:b/>
          <w:bCs/>
          <w:sz w:val="24"/>
          <w:szCs w:val="24"/>
        </w:rPr>
        <w:t>202</w:t>
      </w:r>
      <w:r>
        <w:rPr>
          <w:rFonts w:ascii="Arial" w:hAnsi="Arial"/>
          <w:b/>
          <w:bCs/>
          <w:sz w:val="24"/>
          <w:szCs w:val="24"/>
        </w:rPr>
        <w:t>4</w:t>
      </w:r>
    </w:p>
    <w:p w14:paraId="75E5446D" w14:textId="70E755B4" w:rsidR="00A37CEF" w:rsidRPr="00785E35" w:rsidRDefault="00A37CEF" w:rsidP="002A08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1" w:name="Source"/>
      <w:bookmarkEnd w:id="1"/>
      <w:r w:rsidR="00975340">
        <w:rPr>
          <w:rFonts w:ascii="Arial" w:hAnsi="Arial"/>
          <w:sz w:val="24"/>
        </w:rPr>
        <w:t>10</w:t>
      </w:r>
      <w:r w:rsidR="006B0E0F">
        <w:rPr>
          <w:rFonts w:ascii="Arial" w:hAnsi="Arial"/>
          <w:sz w:val="24"/>
        </w:rPr>
        <w:t>.12.</w:t>
      </w:r>
      <w:r w:rsidR="00560D4B">
        <w:rPr>
          <w:rFonts w:ascii="Arial" w:hAnsi="Arial"/>
          <w:sz w:val="24"/>
        </w:rPr>
        <w:t>2.</w:t>
      </w:r>
      <w:r w:rsidR="00984C63">
        <w:rPr>
          <w:rFonts w:ascii="Arial" w:hAnsi="Arial"/>
          <w:sz w:val="24"/>
        </w:rPr>
        <w:t>2</w:t>
      </w:r>
    </w:p>
    <w:p w14:paraId="777EF737" w14:textId="77777777" w:rsidR="00A37CEF" w:rsidRPr="00785E35" w:rsidRDefault="00A37CEF" w:rsidP="002A08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5CDEEF4A" w14:textId="39FCB4D2" w:rsidR="00A37CEF" w:rsidRPr="00785E35" w:rsidRDefault="00A37CEF" w:rsidP="002A0877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582C3B">
        <w:rPr>
          <w:rFonts w:ascii="Arial" w:hAnsi="Arial"/>
          <w:sz w:val="24"/>
        </w:rPr>
        <w:t xml:space="preserve">Views on </w:t>
      </w:r>
      <w:r w:rsidR="00984C63">
        <w:rPr>
          <w:rFonts w:ascii="Arial" w:hAnsi="Arial"/>
          <w:sz w:val="24"/>
        </w:rPr>
        <w:t>new</w:t>
      </w:r>
      <w:r w:rsidR="006F730F">
        <w:rPr>
          <w:rFonts w:ascii="Arial" w:hAnsi="Arial"/>
          <w:sz w:val="24"/>
        </w:rPr>
        <w:t xml:space="preserve"> BS RF requirements</w:t>
      </w:r>
      <w:r w:rsidR="007E49C0">
        <w:rPr>
          <w:rFonts w:ascii="Arial" w:hAnsi="Arial"/>
          <w:sz w:val="24"/>
        </w:rPr>
        <w:t xml:space="preserve"> for </w:t>
      </w:r>
      <w:r w:rsidR="006F730F">
        <w:rPr>
          <w:rFonts w:ascii="Arial" w:hAnsi="Arial"/>
          <w:sz w:val="24"/>
        </w:rPr>
        <w:t>SBFD</w:t>
      </w:r>
    </w:p>
    <w:p w14:paraId="6F8EE2E4" w14:textId="2FD7F559" w:rsidR="00A37CEF" w:rsidRPr="00785E35" w:rsidRDefault="00A37CEF" w:rsidP="002A0877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2" w:name="DocumentFor"/>
      <w:bookmarkEnd w:id="2"/>
      <w:r w:rsidR="00705014">
        <w:rPr>
          <w:rFonts w:ascii="Arial" w:hAnsi="Arial"/>
          <w:sz w:val="24"/>
        </w:rPr>
        <w:t>Approval</w:t>
      </w:r>
      <w:r w:rsidR="00E02445">
        <w:rPr>
          <w:rFonts w:ascii="Arial" w:hAnsi="Arial"/>
          <w:sz w:val="24"/>
        </w:rPr>
        <w:t xml:space="preserve"> </w:t>
      </w:r>
    </w:p>
    <w:p w14:paraId="57A32C14" w14:textId="77777777" w:rsidR="00A37CEF" w:rsidRPr="00785E35" w:rsidRDefault="00A37CEF" w:rsidP="002A0877">
      <w:pPr>
        <w:pStyle w:val="Heading1"/>
        <w:jc w:val="both"/>
      </w:pPr>
      <w:bookmarkStart w:id="3" w:name="_Ref465963108"/>
      <w:r w:rsidRPr="00785E35">
        <w:t>Introduction</w:t>
      </w:r>
      <w:bookmarkEnd w:id="0"/>
      <w:bookmarkEnd w:id="3"/>
    </w:p>
    <w:p w14:paraId="16D1D869" w14:textId="400BAE13" w:rsidR="00A37CEF" w:rsidRPr="005C6CB9" w:rsidRDefault="00A37CEF" w:rsidP="002A0877">
      <w:pPr>
        <w:spacing w:after="120" w:line="259" w:lineRule="auto"/>
        <w:ind w:right="-101"/>
        <w:jc w:val="both"/>
        <w:rPr>
          <w:rFonts w:eastAsia="Malgun Gothic"/>
          <w:lang w:val="en-CA" w:eastAsia="ko-KR"/>
        </w:rPr>
      </w:pPr>
      <w:r>
        <w:t xml:space="preserve">In </w:t>
      </w:r>
      <w:r w:rsidRPr="00785E35">
        <w:t>RAN#</w:t>
      </w:r>
      <w:r>
        <w:t>102</w:t>
      </w:r>
      <w:r w:rsidRPr="00785E35">
        <w:t xml:space="preserve">, the </w:t>
      </w:r>
      <w:r>
        <w:t>work</w:t>
      </w:r>
      <w:r w:rsidRPr="00785E35">
        <w:t xml:space="preserve"> item on </w:t>
      </w:r>
      <w:r>
        <w:t>e</w:t>
      </w:r>
      <w:r w:rsidRPr="00EB0730">
        <w:t>volution of NR duplex operation</w:t>
      </w:r>
      <w:r w:rsidR="009534D5">
        <w:t xml:space="preserve"> </w:t>
      </w:r>
      <w:r w:rsidRPr="00E95917">
        <w:t>was approved</w:t>
      </w:r>
      <w:r w:rsidRPr="00785E35">
        <w:t xml:space="preserve"> </w:t>
      </w:r>
      <w:r w:rsidRPr="00785E35">
        <w:fldChar w:fldCharType="begin"/>
      </w:r>
      <w:r w:rsidRPr="00785E35">
        <w:instrText xml:space="preserve"> REF _Ref47616084 \n \h </w:instrText>
      </w:r>
      <w:r>
        <w:instrText xml:space="preserve"> \* MERGEFORMAT </w:instrText>
      </w:r>
      <w:r w:rsidRPr="00785E35">
        <w:fldChar w:fldCharType="separate"/>
      </w:r>
      <w:r>
        <w:t>[1]</w:t>
      </w:r>
      <w:r w:rsidRPr="00785E35">
        <w:fldChar w:fldCharType="end"/>
      </w:r>
      <w:r w:rsidRPr="00785E35">
        <w:t>.</w:t>
      </w:r>
      <w:r>
        <w:t xml:space="preserve"> </w:t>
      </w:r>
      <w:r w:rsidR="00F44EF7">
        <w:t xml:space="preserve">From RAN4 </w:t>
      </w:r>
      <w:r w:rsidR="0023172D">
        <w:t xml:space="preserve">RF </w:t>
      </w:r>
      <w:r w:rsidR="00F44EF7">
        <w:t>perspective, t</w:t>
      </w:r>
      <w:r w:rsidRPr="00177BCB">
        <w:t xml:space="preserve">he objective of </w:t>
      </w:r>
      <w:r>
        <w:t xml:space="preserve">the work item is </w:t>
      </w:r>
      <w:r w:rsidR="00E8553E">
        <w:t>as follows: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7CEF" w14:paraId="110D1ACE" w14:textId="77777777" w:rsidTr="00255BB3">
        <w:tc>
          <w:tcPr>
            <w:tcW w:w="9962" w:type="dxa"/>
          </w:tcPr>
          <w:p w14:paraId="0B67DFFB" w14:textId="77777777" w:rsidR="00A37CEF" w:rsidRDefault="00A37CEF" w:rsidP="002A0877">
            <w:pPr>
              <w:spacing w:after="0"/>
              <w:ind w:right="-99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The objectives are as </w:t>
            </w:r>
            <w:r>
              <w:rPr>
                <w:bCs/>
                <w:lang w:eastAsia="ko-KR"/>
              </w:rPr>
              <w:t>follows</w:t>
            </w:r>
            <w:r>
              <w:rPr>
                <w:rFonts w:hint="eastAsia"/>
                <w:bCs/>
                <w:lang w:eastAsia="ko-KR"/>
              </w:rPr>
              <w:t>:</w:t>
            </w:r>
          </w:p>
          <w:p w14:paraId="2EFF3E7D" w14:textId="5B49ACDB" w:rsidR="00A37CEF" w:rsidRPr="0023172D" w:rsidRDefault="00E8553E" w:rsidP="0023172D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Specify BS RF requirements for SBFD operation at gNB [RAN4]</w:t>
            </w:r>
          </w:p>
        </w:tc>
      </w:tr>
    </w:tbl>
    <w:p w14:paraId="3EC9F8B3" w14:textId="77777777" w:rsidR="00A37CEF" w:rsidRPr="00785E35" w:rsidRDefault="00A37CEF" w:rsidP="002A0877">
      <w:pPr>
        <w:jc w:val="both"/>
      </w:pPr>
    </w:p>
    <w:p w14:paraId="6556B6C7" w14:textId="3B2D7222" w:rsidR="00A37CEF" w:rsidRDefault="0023172D" w:rsidP="002A0877">
      <w:pPr>
        <w:jc w:val="both"/>
      </w:pPr>
      <w:r>
        <w:t xml:space="preserve">In RAN4#110-bis, a WF was agreed in [2]. </w:t>
      </w:r>
      <w:r w:rsidR="00A37CEF">
        <w:t xml:space="preserve">In this contribution we </w:t>
      </w:r>
      <w:r w:rsidR="00EB7153">
        <w:t xml:space="preserve">share our views on </w:t>
      </w:r>
      <w:r w:rsidR="002E21FA">
        <w:t xml:space="preserve">existing BS RF requirements </w:t>
      </w:r>
      <w:r w:rsidR="00EF49CD">
        <w:t xml:space="preserve">for Rel-19 SBFD. </w:t>
      </w:r>
    </w:p>
    <w:p w14:paraId="5D128546" w14:textId="3A1DC286" w:rsidR="00540B8E" w:rsidRDefault="00EF476A" w:rsidP="000B045F">
      <w:pPr>
        <w:pStyle w:val="Heading1"/>
      </w:pPr>
      <w:r>
        <w:t>New</w:t>
      </w:r>
      <w:r w:rsidR="00540B8E">
        <w:t xml:space="preserve"> </w:t>
      </w:r>
      <w:r w:rsidR="001F7C18">
        <w:t xml:space="preserve">BS </w:t>
      </w:r>
      <w:r w:rsidR="00275C28">
        <w:t>RF requirements</w:t>
      </w:r>
      <w:r>
        <w:t xml:space="preserve"> for SBFD operation </w:t>
      </w:r>
    </w:p>
    <w:p w14:paraId="29EC4D2F" w14:textId="300445C6" w:rsidR="00EF476A" w:rsidRDefault="00EF476A" w:rsidP="00EF476A">
      <w:pPr>
        <w:rPr>
          <w:lang w:val="en-GB"/>
        </w:rPr>
      </w:pPr>
      <w:r>
        <w:rPr>
          <w:lang w:val="en-GB"/>
        </w:rPr>
        <w:t>As discussed in Section 10.1.4 [</w:t>
      </w:r>
      <w:r w:rsidR="00B03D24">
        <w:rPr>
          <w:lang w:val="en-GB"/>
        </w:rPr>
        <w:t>3</w:t>
      </w:r>
      <w:r>
        <w:rPr>
          <w:lang w:val="en-GB"/>
        </w:rPr>
        <w:t>], the following requirements are expected to be added for SBFD BS:</w:t>
      </w:r>
    </w:p>
    <w:p w14:paraId="6959C1D0" w14:textId="77777777" w:rsidR="00EF476A" w:rsidRPr="00B35350" w:rsidRDefault="00EF476A" w:rsidP="00EF476A">
      <w:pPr>
        <w:pStyle w:val="ListParagraph"/>
        <w:numPr>
          <w:ilvl w:val="0"/>
          <w:numId w:val="28"/>
        </w:numPr>
        <w:rPr>
          <w:lang w:val="en-GB"/>
        </w:rPr>
      </w:pPr>
      <w:r>
        <w:t>In-channel adjacent subband leakage ratio</w:t>
      </w:r>
    </w:p>
    <w:p w14:paraId="336D47AE" w14:textId="77777777" w:rsidR="00EF476A" w:rsidRPr="00AC7ACA" w:rsidRDefault="00EF476A" w:rsidP="00EF476A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rFonts w:cs="Arial"/>
        </w:rPr>
        <w:t>In-channel adjacent subband Blocking and adjacent subband selectivity</w:t>
      </w:r>
    </w:p>
    <w:p w14:paraId="695C8DAA" w14:textId="6522A574" w:rsidR="008C608C" w:rsidRDefault="00EF476A" w:rsidP="005752C8">
      <w:pPr>
        <w:pStyle w:val="ListParagraph"/>
        <w:numPr>
          <w:ilvl w:val="0"/>
          <w:numId w:val="28"/>
        </w:numPr>
        <w:rPr>
          <w:lang w:val="en-GB"/>
        </w:rPr>
      </w:pPr>
      <w:r>
        <w:rPr>
          <w:lang w:val="en-GB"/>
        </w:rPr>
        <w:t xml:space="preserve">Transmitter transient period </w:t>
      </w:r>
    </w:p>
    <w:p w14:paraId="0A085E72" w14:textId="77777777" w:rsidR="005752C8" w:rsidRPr="005752C8" w:rsidRDefault="005752C8" w:rsidP="005752C8">
      <w:pPr>
        <w:pStyle w:val="ListParagraph"/>
        <w:ind w:left="1490"/>
        <w:rPr>
          <w:lang w:val="en-GB"/>
        </w:rPr>
      </w:pPr>
    </w:p>
    <w:p w14:paraId="4492A97A" w14:textId="1D1CF5B3" w:rsidR="00E549B2" w:rsidRDefault="008C608C" w:rsidP="00367D24">
      <w:pPr>
        <w:rPr>
          <w:lang w:val="en-GB"/>
        </w:rPr>
      </w:pPr>
      <w:r>
        <w:rPr>
          <w:lang w:val="en-GB"/>
        </w:rPr>
        <w:t xml:space="preserve">Within in-band operation, the in-channel adjacent subband leakage will impact the </w:t>
      </w:r>
      <w:r w:rsidR="005E52BB">
        <w:rPr>
          <w:lang w:val="en-GB"/>
        </w:rPr>
        <w:t xml:space="preserve">receiving subband of the same BS. Such leakage </w:t>
      </w:r>
      <w:r w:rsidR="00CC5FFA">
        <w:rPr>
          <w:lang w:val="en-GB"/>
        </w:rPr>
        <w:t>might contribute to REFSENSE</w:t>
      </w:r>
      <w:r w:rsidR="009D6FE1">
        <w:rPr>
          <w:lang w:val="en-GB"/>
        </w:rPr>
        <w:t xml:space="preserve">. </w:t>
      </w:r>
      <w:r w:rsidR="00E549B2">
        <w:rPr>
          <w:lang w:val="en-GB"/>
        </w:rPr>
        <w:t xml:space="preserve">It was </w:t>
      </w:r>
      <w:r w:rsidR="00DF05E5">
        <w:rPr>
          <w:lang w:val="en-GB"/>
        </w:rPr>
        <w:t>noted</w:t>
      </w:r>
      <w:r w:rsidR="00E549B2">
        <w:rPr>
          <w:lang w:val="en-GB"/>
        </w:rPr>
        <w:t xml:space="preserve"> during the SI [3] that OTA REFSENSE will </w:t>
      </w:r>
      <w:r w:rsidR="00CD1ACE">
        <w:rPr>
          <w:lang w:val="en-GB"/>
        </w:rPr>
        <w:t xml:space="preserve">be derived considering self-interference, inter-site and inter-sector interference. </w:t>
      </w:r>
      <w:r w:rsidR="0018724C">
        <w:rPr>
          <w:lang w:val="en-GB"/>
        </w:rPr>
        <w:t>T</w:t>
      </w:r>
      <w:r w:rsidR="00B40F6E">
        <w:rPr>
          <w:lang w:val="en-GB"/>
        </w:rPr>
        <w:t>he in-channel adjacent subband leakage</w:t>
      </w:r>
      <w:r w:rsidR="0018724C">
        <w:rPr>
          <w:lang w:val="en-GB"/>
        </w:rPr>
        <w:t xml:space="preserve"> </w:t>
      </w:r>
      <w:r w:rsidR="00C23752">
        <w:rPr>
          <w:lang w:val="en-GB"/>
        </w:rPr>
        <w:t xml:space="preserve">(selectivity) </w:t>
      </w:r>
      <w:r w:rsidR="0018724C">
        <w:rPr>
          <w:lang w:val="en-GB"/>
        </w:rPr>
        <w:t>is the same as the ACLR</w:t>
      </w:r>
      <w:r w:rsidR="00C23752">
        <w:rPr>
          <w:lang w:val="en-GB"/>
        </w:rPr>
        <w:t xml:space="preserve"> (ACS)</w:t>
      </w:r>
      <w:r w:rsidR="0018724C">
        <w:rPr>
          <w:lang w:val="en-GB"/>
        </w:rPr>
        <w:t xml:space="preserve">, but on a subband in-channel granularity level. </w:t>
      </w:r>
      <w:r w:rsidR="00046278">
        <w:rPr>
          <w:lang w:val="en-GB"/>
        </w:rPr>
        <w:t xml:space="preserve">Consequently, there is </w:t>
      </w:r>
      <w:r w:rsidR="00B40F6E">
        <w:rPr>
          <w:lang w:val="en-GB"/>
        </w:rPr>
        <w:t xml:space="preserve">a direct implication of the coexistence scenarios and assumptions on the </w:t>
      </w:r>
      <w:r w:rsidR="0018724C">
        <w:rPr>
          <w:lang w:val="en-GB"/>
        </w:rPr>
        <w:t xml:space="preserve">subband leakage </w:t>
      </w:r>
      <w:r w:rsidR="00C23752">
        <w:rPr>
          <w:lang w:val="en-GB"/>
        </w:rPr>
        <w:t xml:space="preserve">and selectivity </w:t>
      </w:r>
      <w:r w:rsidR="00B40F6E">
        <w:rPr>
          <w:lang w:val="en-GB"/>
        </w:rPr>
        <w:t>definition</w:t>
      </w:r>
      <w:r w:rsidR="0018724C">
        <w:rPr>
          <w:lang w:val="en-GB"/>
        </w:rPr>
        <w:t>.</w:t>
      </w:r>
      <w:r w:rsidR="002C31C6">
        <w:rPr>
          <w:lang w:val="en-GB"/>
        </w:rPr>
        <w:t xml:space="preserve"> </w:t>
      </w:r>
    </w:p>
    <w:p w14:paraId="74903C38" w14:textId="4C4A783B" w:rsidR="002C31C6" w:rsidRPr="002C31C6" w:rsidRDefault="008C608C" w:rsidP="00367D24">
      <w:pPr>
        <w:rPr>
          <w:b/>
          <w:bCs/>
          <w:lang w:val="en-GB"/>
        </w:rPr>
      </w:pPr>
      <w:r w:rsidRPr="0099526C">
        <w:rPr>
          <w:b/>
          <w:bCs/>
          <w:u w:val="single"/>
          <w:lang w:val="en-GB"/>
        </w:rPr>
        <w:t xml:space="preserve">Observation </w:t>
      </w:r>
      <w:r w:rsidR="00504B42" w:rsidRPr="0099526C">
        <w:rPr>
          <w:b/>
          <w:bCs/>
          <w:u w:val="single"/>
          <w:lang w:val="en-GB"/>
        </w:rPr>
        <w:t>1</w:t>
      </w:r>
      <w:r w:rsidRPr="002C31C6">
        <w:rPr>
          <w:b/>
          <w:bCs/>
          <w:lang w:val="en-GB"/>
        </w:rPr>
        <w:t xml:space="preserve">: </w:t>
      </w:r>
      <w:r w:rsidR="00504B42" w:rsidRPr="002C31C6">
        <w:rPr>
          <w:b/>
          <w:bCs/>
          <w:lang w:val="en-GB"/>
        </w:rPr>
        <w:t>The in-channel subband</w:t>
      </w:r>
      <w:r w:rsidRPr="002C31C6">
        <w:rPr>
          <w:b/>
          <w:bCs/>
          <w:lang w:val="en-GB"/>
        </w:rPr>
        <w:t xml:space="preserve"> sub-band Tx leakage </w:t>
      </w:r>
      <w:r w:rsidR="002C31C6" w:rsidRPr="002C31C6">
        <w:rPr>
          <w:b/>
          <w:bCs/>
          <w:lang w:val="en-GB"/>
        </w:rPr>
        <w:t xml:space="preserve">and selectivity new requirements depend on the self-interference, inter-site and inter-sector interference considerations. </w:t>
      </w:r>
    </w:p>
    <w:p w14:paraId="60D87926" w14:textId="57725E14" w:rsidR="00367D24" w:rsidRDefault="00680CA4" w:rsidP="00367D24">
      <w:pPr>
        <w:rPr>
          <w:lang w:val="en-GB"/>
        </w:rPr>
      </w:pPr>
      <w:r>
        <w:rPr>
          <w:lang w:val="en-GB"/>
        </w:rPr>
        <w:t xml:space="preserve">During the SI phase, to progress the adjacent channel coexistence, RAN4 agreed to reuse legacy </w:t>
      </w:r>
      <w:r w:rsidR="0031595A">
        <w:rPr>
          <w:lang w:val="en-GB"/>
        </w:rPr>
        <w:t xml:space="preserve">ACLR and ACS requirement for the in-channel adjacent subband leakage and selectivity. </w:t>
      </w:r>
      <w:r w:rsidR="006A76FE">
        <w:rPr>
          <w:lang w:val="en-GB"/>
        </w:rPr>
        <w:t xml:space="preserve">There was lengthy discussions on whether to consider some enhanced performance at the BS side, owing to additional filtering or enhanced interference mitigation capabilities. </w:t>
      </w:r>
      <w:r w:rsidR="006855AC">
        <w:rPr>
          <w:lang w:val="en-GB"/>
        </w:rPr>
        <w:t xml:space="preserve">Accordingly, RAN4 is expected to define scenarios and assumptions upon which the new requirements </w:t>
      </w:r>
      <w:r w:rsidR="008C20CD">
        <w:rPr>
          <w:lang w:val="en-GB"/>
        </w:rPr>
        <w:t xml:space="preserve">will be defined for. </w:t>
      </w:r>
      <w:r w:rsidR="008C20CD">
        <w:rPr>
          <w:lang w:val="en-GB"/>
        </w:rPr>
        <w:br/>
      </w:r>
      <w:r w:rsidR="008C20CD">
        <w:rPr>
          <w:lang w:val="en-GB"/>
        </w:rPr>
        <w:br/>
      </w:r>
      <w:r w:rsidR="008C20CD" w:rsidRPr="00C23752">
        <w:rPr>
          <w:b/>
          <w:bCs/>
          <w:lang w:val="en-GB"/>
        </w:rPr>
        <w:t xml:space="preserve">Proposal 1: RAN4 to </w:t>
      </w:r>
      <w:r w:rsidR="001B0613" w:rsidRPr="00C23752">
        <w:rPr>
          <w:b/>
          <w:bCs/>
          <w:lang w:val="en-GB"/>
        </w:rPr>
        <w:t xml:space="preserve">first </w:t>
      </w:r>
      <w:r w:rsidR="008C20CD" w:rsidRPr="00C23752">
        <w:rPr>
          <w:b/>
          <w:bCs/>
          <w:lang w:val="en-GB"/>
        </w:rPr>
        <w:t xml:space="preserve">define scenarios and assumptions </w:t>
      </w:r>
      <w:r w:rsidR="001B0613" w:rsidRPr="00C23752">
        <w:rPr>
          <w:b/>
          <w:bCs/>
          <w:lang w:val="en-GB"/>
        </w:rPr>
        <w:t>required for the definition of the in-channel adjacent subband leakage and selectivity.</w:t>
      </w:r>
      <w:r w:rsidR="001B0613">
        <w:rPr>
          <w:lang w:val="en-GB"/>
        </w:rPr>
        <w:t xml:space="preserve"> </w:t>
      </w:r>
    </w:p>
    <w:p w14:paraId="0E715174" w14:textId="01EDCC1C" w:rsidR="00222793" w:rsidRDefault="00222793" w:rsidP="00367D24">
      <w:pPr>
        <w:rPr>
          <w:lang w:val="en-GB"/>
        </w:rPr>
      </w:pPr>
      <w:r>
        <w:rPr>
          <w:lang w:val="en-GB"/>
        </w:rPr>
        <w:t xml:space="preserve">Finally on the transmitter transient period, RAN4 was not able to conclude during the SI phase on the necessity of such requirement. </w:t>
      </w:r>
      <w:r w:rsidR="0076351B">
        <w:rPr>
          <w:lang w:val="en-GB"/>
        </w:rPr>
        <w:t xml:space="preserve">In our view, </w:t>
      </w:r>
      <w:r w:rsidR="00DF4BCD">
        <w:rPr>
          <w:lang w:val="en-GB"/>
        </w:rPr>
        <w:t xml:space="preserve">it is important to define a new requirement for the transient </w:t>
      </w:r>
      <w:r w:rsidR="00DF4BCD" w:rsidRPr="00DF4BCD">
        <w:rPr>
          <w:lang w:val="en-GB"/>
        </w:rPr>
        <w:t>period between non-SBFD slot and SBFD slot</w:t>
      </w:r>
      <w:r w:rsidR="00A272D9">
        <w:rPr>
          <w:lang w:val="en-GB"/>
        </w:rPr>
        <w:t xml:space="preserve">. As a starting point, RAN4 can start with the study </w:t>
      </w:r>
      <w:r w:rsidR="001828E1">
        <w:rPr>
          <w:lang w:val="en-GB"/>
        </w:rPr>
        <w:t xml:space="preserve">the adoption </w:t>
      </w:r>
      <w:r w:rsidR="00A272D9">
        <w:rPr>
          <w:lang w:val="en-GB"/>
        </w:rPr>
        <w:t xml:space="preserve">of the </w:t>
      </w:r>
      <w:r w:rsidR="001828E1">
        <w:rPr>
          <w:lang w:val="en-GB"/>
        </w:rPr>
        <w:t xml:space="preserve">TDD </w:t>
      </w:r>
      <w:r w:rsidR="001828E1" w:rsidRPr="001828E1">
        <w:rPr>
          <w:lang w:val="en-GB"/>
        </w:rPr>
        <w:t xml:space="preserve">transmitter transient period requirement </w:t>
      </w:r>
      <w:r w:rsidR="001828E1">
        <w:rPr>
          <w:lang w:val="en-GB"/>
        </w:rPr>
        <w:t>given in TS 38.104.</w:t>
      </w:r>
    </w:p>
    <w:p w14:paraId="3A1C4908" w14:textId="2586DAB9" w:rsidR="00556286" w:rsidRPr="0099526C" w:rsidRDefault="00556286" w:rsidP="00367D24">
      <w:pPr>
        <w:rPr>
          <w:b/>
          <w:bCs/>
          <w:lang w:val="en-GB"/>
        </w:rPr>
      </w:pPr>
      <w:r w:rsidRPr="0099526C">
        <w:rPr>
          <w:b/>
          <w:bCs/>
          <w:u w:val="single"/>
          <w:lang w:val="en-GB"/>
        </w:rPr>
        <w:lastRenderedPageBreak/>
        <w:t>Proposal 2</w:t>
      </w:r>
      <w:r w:rsidRPr="0099526C">
        <w:rPr>
          <w:b/>
          <w:bCs/>
          <w:lang w:val="en-GB"/>
        </w:rPr>
        <w:t xml:space="preserve">: RAN4 to define a new requirement for the transmitter transient period between SBFD and non-SBFD slot. As a starting point, RAN4 can start with the </w:t>
      </w:r>
      <w:r w:rsidR="0099526C" w:rsidRPr="0099526C">
        <w:rPr>
          <w:b/>
          <w:bCs/>
          <w:lang w:val="en-GB"/>
        </w:rPr>
        <w:t>feasibility of adopting the Tx transient period requirement for TDD BS.</w:t>
      </w:r>
    </w:p>
    <w:p w14:paraId="46DCD988" w14:textId="77777777" w:rsidR="00A37CEF" w:rsidRDefault="00A37CEF" w:rsidP="002A0877">
      <w:pPr>
        <w:pStyle w:val="Heading1"/>
        <w:jc w:val="both"/>
      </w:pPr>
      <w:r>
        <w:t>Conclusion</w:t>
      </w:r>
    </w:p>
    <w:p w14:paraId="21920010" w14:textId="73E8BE30" w:rsidR="00A37CEF" w:rsidRDefault="00A37CEF" w:rsidP="002A0877">
      <w:pPr>
        <w:jc w:val="both"/>
      </w:pPr>
      <w:r w:rsidRPr="00A562B7">
        <w:t>In</w:t>
      </w:r>
      <w:r>
        <w:t xml:space="preserve"> </w:t>
      </w:r>
      <w:r w:rsidRPr="00A562B7">
        <w:t>this</w:t>
      </w:r>
      <w:r>
        <w:t xml:space="preserve"> </w:t>
      </w:r>
      <w:r w:rsidRPr="00A562B7">
        <w:t>contribution,</w:t>
      </w:r>
      <w:r>
        <w:t xml:space="preserve"> </w:t>
      </w:r>
      <w:r w:rsidRPr="00A562B7">
        <w:t>we</w:t>
      </w:r>
      <w:r>
        <w:t xml:space="preserve"> </w:t>
      </w:r>
      <w:r w:rsidRPr="00A562B7">
        <w:t>provid</w:t>
      </w:r>
      <w:r>
        <w:t xml:space="preserve">ed our views on </w:t>
      </w:r>
      <w:r w:rsidR="00CE7110">
        <w:t xml:space="preserve">BS RF </w:t>
      </w:r>
      <w:r w:rsidR="004F2C94">
        <w:t>requir</w:t>
      </w:r>
      <w:r w:rsidR="00CE7110">
        <w:t xml:space="preserve">ements for SBFD </w:t>
      </w:r>
      <w:r w:rsidRPr="00A562B7">
        <w:t>with</w:t>
      </w:r>
      <w:r>
        <w:t xml:space="preserve"> the </w:t>
      </w:r>
      <w:r w:rsidRPr="00A562B7">
        <w:t>following</w:t>
      </w:r>
      <w:r>
        <w:t xml:space="preserve"> observations and </w:t>
      </w:r>
      <w:r w:rsidRPr="00A562B7">
        <w:t>proposals:</w:t>
      </w:r>
    </w:p>
    <w:p w14:paraId="35A4D514" w14:textId="33E48473" w:rsidR="0099526C" w:rsidRDefault="0099526C" w:rsidP="0099526C">
      <w:pPr>
        <w:rPr>
          <w:b/>
          <w:bCs/>
          <w:lang w:val="en-GB"/>
        </w:rPr>
      </w:pPr>
      <w:r w:rsidRPr="0099526C">
        <w:rPr>
          <w:b/>
          <w:bCs/>
          <w:u w:val="single"/>
          <w:lang w:val="en-GB"/>
        </w:rPr>
        <w:t>Observation 1</w:t>
      </w:r>
      <w:r w:rsidRPr="002C31C6">
        <w:rPr>
          <w:b/>
          <w:bCs/>
          <w:lang w:val="en-GB"/>
        </w:rPr>
        <w:t xml:space="preserve">: The in-channel subband sub-band Tx leakage and selectivity new requirements depend on the self-interference, inter-site and inter-sector interference considerations. </w:t>
      </w:r>
    </w:p>
    <w:p w14:paraId="55BC6D89" w14:textId="027AA1FB" w:rsidR="0099526C" w:rsidRDefault="0099526C" w:rsidP="0099526C">
      <w:pPr>
        <w:rPr>
          <w:b/>
          <w:bCs/>
          <w:u w:val="single"/>
          <w:lang w:val="en-GB"/>
        </w:rPr>
      </w:pPr>
      <w:r w:rsidRPr="00C23752">
        <w:rPr>
          <w:b/>
          <w:bCs/>
          <w:lang w:val="en-GB"/>
        </w:rPr>
        <w:t>Proposal 1: RAN4 to first define scenarios and assumptions required for the definition of the in-channel adjacent subband leakage and selectivity.</w:t>
      </w:r>
    </w:p>
    <w:p w14:paraId="1F0A001E" w14:textId="68B358B0" w:rsidR="0099526C" w:rsidRPr="0099526C" w:rsidRDefault="0099526C" w:rsidP="0099526C">
      <w:pPr>
        <w:rPr>
          <w:b/>
          <w:bCs/>
          <w:lang w:val="en-GB"/>
        </w:rPr>
      </w:pPr>
      <w:r w:rsidRPr="0099526C">
        <w:rPr>
          <w:b/>
          <w:bCs/>
          <w:u w:val="single"/>
          <w:lang w:val="en-GB"/>
        </w:rPr>
        <w:t>Proposal 2</w:t>
      </w:r>
      <w:r w:rsidRPr="0099526C">
        <w:rPr>
          <w:b/>
          <w:bCs/>
          <w:lang w:val="en-GB"/>
        </w:rPr>
        <w:t>: RAN4 to define a new requirement for the transmitter transient period between SBFD and non-SBFD slot. As a starting point, RAN4 can start with the feasibility of adopting the Tx transient period requirement for TDD BS</w:t>
      </w:r>
      <w:r>
        <w:rPr>
          <w:b/>
          <w:bCs/>
          <w:lang w:val="en-GB"/>
        </w:rPr>
        <w:t>.</w:t>
      </w:r>
    </w:p>
    <w:p w14:paraId="2B7C1C2C" w14:textId="77777777" w:rsidR="00A37CEF" w:rsidRPr="00D54742" w:rsidRDefault="00A37CEF" w:rsidP="002A0877">
      <w:pPr>
        <w:pStyle w:val="Heading1"/>
        <w:jc w:val="both"/>
      </w:pPr>
      <w:r>
        <w:t>References</w:t>
      </w:r>
    </w:p>
    <w:p w14:paraId="53518240" w14:textId="1A6E21E2" w:rsidR="00A37CEF" w:rsidRDefault="00753211" w:rsidP="002A0877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4" w:name="_Ref47616084"/>
      <w:bookmarkStart w:id="5" w:name="_Ref32439522"/>
      <w:r w:rsidRPr="00753211">
        <w:rPr>
          <w:szCs w:val="20"/>
          <w:lang w:val="en-GB"/>
        </w:rPr>
        <w:t>RP-240789</w:t>
      </w:r>
      <w:r w:rsidR="00A37CEF" w:rsidRPr="005C32DA">
        <w:rPr>
          <w:szCs w:val="20"/>
          <w:lang w:val="en-GB"/>
        </w:rPr>
        <w:t xml:space="preserve"> </w:t>
      </w:r>
      <w:r w:rsidR="00A37CEF" w:rsidRPr="00785E35">
        <w:rPr>
          <w:szCs w:val="20"/>
          <w:lang w:val="en-GB"/>
        </w:rPr>
        <w:t>“</w:t>
      </w:r>
      <w:r w:rsidR="003B0C33">
        <w:rPr>
          <w:szCs w:val="20"/>
          <w:lang w:val="en-GB"/>
        </w:rPr>
        <w:t>Revised</w:t>
      </w:r>
      <w:r w:rsidR="00A37CEF" w:rsidRPr="005945B3">
        <w:rPr>
          <w:szCs w:val="20"/>
          <w:lang w:val="en-GB"/>
        </w:rPr>
        <w:t xml:space="preserve"> WID: Evolution of NR duplex operation: Sub-band full duplex (SBFD)</w:t>
      </w:r>
      <w:r w:rsidR="00A37CEF" w:rsidRPr="00785E35">
        <w:rPr>
          <w:szCs w:val="20"/>
          <w:lang w:val="en-GB"/>
        </w:rPr>
        <w:t xml:space="preserve">”, </w:t>
      </w:r>
      <w:r w:rsidR="00460441">
        <w:rPr>
          <w:szCs w:val="20"/>
          <w:lang w:val="en-GB"/>
        </w:rPr>
        <w:t xml:space="preserve">Huawei, </w:t>
      </w:r>
      <w:proofErr w:type="spellStart"/>
      <w:r w:rsidR="00042F87">
        <w:rPr>
          <w:szCs w:val="20"/>
          <w:lang w:val="en-GB"/>
        </w:rPr>
        <w:t>Hi</w:t>
      </w:r>
      <w:r w:rsidR="002E7C21">
        <w:rPr>
          <w:szCs w:val="20"/>
          <w:lang w:val="en-GB"/>
        </w:rPr>
        <w:t>Silicon</w:t>
      </w:r>
      <w:proofErr w:type="spellEnd"/>
      <w:r w:rsidR="00A37CEF" w:rsidRPr="00785E35">
        <w:rPr>
          <w:szCs w:val="20"/>
          <w:lang w:val="en-GB"/>
        </w:rPr>
        <w:t xml:space="preserve">, </w:t>
      </w:r>
      <w:r w:rsidR="00A37CEF" w:rsidRPr="003E1C6B">
        <w:rPr>
          <w:szCs w:val="20"/>
          <w:lang w:val="en-GB"/>
        </w:rPr>
        <w:t>3GPP TSG RAN#</w:t>
      </w:r>
      <w:r w:rsidR="00A37CEF">
        <w:rPr>
          <w:szCs w:val="20"/>
          <w:lang w:val="en-GB"/>
        </w:rPr>
        <w:t>10</w:t>
      </w:r>
      <w:r w:rsidR="0089771A">
        <w:rPr>
          <w:szCs w:val="20"/>
          <w:lang w:val="en-GB"/>
        </w:rPr>
        <w:t>3</w:t>
      </w:r>
      <w:r w:rsidR="00A37CEF" w:rsidRPr="00785E35">
        <w:rPr>
          <w:szCs w:val="20"/>
          <w:lang w:val="en-GB"/>
        </w:rPr>
        <w:t>.</w:t>
      </w:r>
      <w:bookmarkEnd w:id="4"/>
    </w:p>
    <w:p w14:paraId="59C1EE27" w14:textId="70FAE952" w:rsidR="0023172D" w:rsidRPr="009C07A6" w:rsidRDefault="00E5796C" w:rsidP="0023172D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r w:rsidRPr="00E5796C">
        <w:rPr>
          <w:szCs w:val="20"/>
          <w:lang w:val="en-GB"/>
        </w:rPr>
        <w:t>R4-2406107</w:t>
      </w:r>
      <w:r w:rsidR="0023172D" w:rsidRPr="00A37CEF">
        <w:rPr>
          <w:szCs w:val="20"/>
          <w:lang w:val="en-GB"/>
        </w:rPr>
        <w:t>, “</w:t>
      </w:r>
      <w:r w:rsidR="009C07A6" w:rsidRPr="009C07A6">
        <w:rPr>
          <w:szCs w:val="20"/>
          <w:lang w:val="en-GB"/>
        </w:rPr>
        <w:t xml:space="preserve">Way Forward for [110bis][313] </w:t>
      </w:r>
      <w:proofErr w:type="spellStart"/>
      <w:r w:rsidR="009C07A6" w:rsidRPr="009C07A6">
        <w:rPr>
          <w:szCs w:val="20"/>
          <w:lang w:val="en-GB"/>
        </w:rPr>
        <w:t>NR_duplex_evo</w:t>
      </w:r>
      <w:proofErr w:type="spellEnd"/>
      <w:r w:rsidR="0023172D" w:rsidRPr="00A37CEF">
        <w:rPr>
          <w:szCs w:val="20"/>
          <w:lang w:val="en-GB"/>
        </w:rPr>
        <w:t xml:space="preserve">”, </w:t>
      </w:r>
      <w:r w:rsidR="00E57003">
        <w:rPr>
          <w:szCs w:val="20"/>
          <w:lang w:val="en-GB"/>
        </w:rPr>
        <w:t>RAN4#110-bis, Samsung</w:t>
      </w:r>
      <w:r w:rsidR="0023172D" w:rsidRPr="00A37CEF">
        <w:rPr>
          <w:szCs w:val="20"/>
          <w:lang w:val="en-GB"/>
        </w:rPr>
        <w:t xml:space="preserve">. </w:t>
      </w:r>
    </w:p>
    <w:bookmarkEnd w:id="5"/>
    <w:p w14:paraId="78FEA8EA" w14:textId="41739112" w:rsidR="00A37CEF" w:rsidRDefault="00A37CEF" w:rsidP="002A0877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r w:rsidRPr="00A37CEF">
        <w:rPr>
          <w:szCs w:val="20"/>
          <w:lang w:val="en-GB"/>
        </w:rPr>
        <w:t xml:space="preserve">TR 38.858, “Study on evolution of NR duplex operation”, 3GPP. </w:t>
      </w:r>
    </w:p>
    <w:p w14:paraId="5CA306C7" w14:textId="77777777" w:rsidR="00A37CEF" w:rsidRPr="00741CC3" w:rsidRDefault="00A37CEF" w:rsidP="002A0877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rPr>
          <w:szCs w:val="20"/>
          <w:lang w:val="en-GB"/>
        </w:rPr>
      </w:pPr>
    </w:p>
    <w:p w14:paraId="7547DE2D" w14:textId="77777777" w:rsidR="00A37CEF" w:rsidRDefault="00A37CEF" w:rsidP="002A0877">
      <w:pPr>
        <w:jc w:val="both"/>
      </w:pPr>
    </w:p>
    <w:sectPr w:rsidR="00A37CEF" w:rsidSect="00370B59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C9B90" w14:textId="77777777" w:rsidR="00370B59" w:rsidRDefault="00370B59">
      <w:pPr>
        <w:spacing w:after="0"/>
      </w:pPr>
      <w:r>
        <w:separator/>
      </w:r>
    </w:p>
  </w:endnote>
  <w:endnote w:type="continuationSeparator" w:id="0">
    <w:p w14:paraId="17CC647D" w14:textId="77777777" w:rsidR="00370B59" w:rsidRDefault="00370B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98EDF" w14:textId="77777777" w:rsidR="00146ED2" w:rsidRDefault="00E0451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8AD202" w14:textId="77777777" w:rsidR="00146ED2" w:rsidRDefault="00146E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E84F1" w14:textId="77777777" w:rsidR="00146ED2" w:rsidRDefault="00E0451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B9D4D" w14:textId="77777777" w:rsidR="00370B59" w:rsidRDefault="00370B59">
      <w:pPr>
        <w:spacing w:after="0"/>
      </w:pPr>
      <w:r>
        <w:separator/>
      </w:r>
    </w:p>
  </w:footnote>
  <w:footnote w:type="continuationSeparator" w:id="0">
    <w:p w14:paraId="4CAA2E0B" w14:textId="77777777" w:rsidR="00370B59" w:rsidRDefault="00370B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E779E" w14:textId="77777777" w:rsidR="00146ED2" w:rsidRDefault="00E045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01784A"/>
    <w:multiLevelType w:val="hybridMultilevel"/>
    <w:tmpl w:val="1FDA7812"/>
    <w:lvl w:ilvl="0" w:tplc="BEBA84A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2F8F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F4F654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AA828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363DA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C6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AA3D1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4569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8CEC8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1E230B"/>
    <w:multiLevelType w:val="hybridMultilevel"/>
    <w:tmpl w:val="43929580"/>
    <w:lvl w:ilvl="0" w:tplc="C63A292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C60B2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C2D45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EC3D8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D262D4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8427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8AA97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8831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36CAC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747"/>
    <w:multiLevelType w:val="hybridMultilevel"/>
    <w:tmpl w:val="FCB694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92D56"/>
    <w:multiLevelType w:val="hybridMultilevel"/>
    <w:tmpl w:val="A6CEC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D0418B"/>
    <w:multiLevelType w:val="hybridMultilevel"/>
    <w:tmpl w:val="7B4EF652"/>
    <w:lvl w:ilvl="0" w:tplc="566E1CD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431B0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245D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CFE5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F61A9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4EBB8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E95F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0CE034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4212D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77C94"/>
    <w:multiLevelType w:val="hybridMultilevel"/>
    <w:tmpl w:val="321493FE"/>
    <w:lvl w:ilvl="0" w:tplc="E0DAACB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1A1206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4E1D5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D223E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6286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AAE8C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E02A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5A43E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8CE4B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55668"/>
    <w:multiLevelType w:val="hybridMultilevel"/>
    <w:tmpl w:val="3B0207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636914"/>
    <w:multiLevelType w:val="hybridMultilevel"/>
    <w:tmpl w:val="F8F2FDF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 w15:restartNumberingAfterBreak="0">
    <w:nsid w:val="2E4252F6"/>
    <w:multiLevelType w:val="multilevel"/>
    <w:tmpl w:val="FD3E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2E11247"/>
    <w:multiLevelType w:val="hybridMultilevel"/>
    <w:tmpl w:val="E1D06C7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7E350F7"/>
    <w:multiLevelType w:val="hybridMultilevel"/>
    <w:tmpl w:val="8EBEA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82B34"/>
    <w:multiLevelType w:val="hybridMultilevel"/>
    <w:tmpl w:val="2FF08B96"/>
    <w:lvl w:ilvl="0" w:tplc="8D3E0F0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6D2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20B33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E4A8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68757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63C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6BEE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762BF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C100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B2372AB"/>
    <w:multiLevelType w:val="hybridMultilevel"/>
    <w:tmpl w:val="C00C2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FB6BED"/>
    <w:multiLevelType w:val="hybridMultilevel"/>
    <w:tmpl w:val="581CC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B82F7D"/>
    <w:multiLevelType w:val="hybridMultilevel"/>
    <w:tmpl w:val="F43C2416"/>
    <w:lvl w:ilvl="0" w:tplc="BCD27D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E01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A553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92DF6E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8D0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C596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661E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8171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40775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16819"/>
    <w:multiLevelType w:val="hybridMultilevel"/>
    <w:tmpl w:val="ACF4A33C"/>
    <w:lvl w:ilvl="0" w:tplc="A2E4A15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410B0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1CE29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98D87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A50A0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1A85B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A4D98C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C4D89E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A620A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EFF4D03"/>
    <w:multiLevelType w:val="hybridMultilevel"/>
    <w:tmpl w:val="8CB2F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D2CC8"/>
    <w:multiLevelType w:val="hybridMultilevel"/>
    <w:tmpl w:val="4274D04E"/>
    <w:lvl w:ilvl="0" w:tplc="E01E9F5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04491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C230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EEA9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745DD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2DE7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98EA7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446C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ED7B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CB43665"/>
    <w:multiLevelType w:val="hybridMultilevel"/>
    <w:tmpl w:val="73AE7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21C85"/>
    <w:multiLevelType w:val="hybridMultilevel"/>
    <w:tmpl w:val="1DC09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A2D57"/>
    <w:multiLevelType w:val="hybridMultilevel"/>
    <w:tmpl w:val="43BCD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18F4DAD"/>
    <w:multiLevelType w:val="hybridMultilevel"/>
    <w:tmpl w:val="3E607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4988422">
    <w:abstractNumId w:val="10"/>
  </w:num>
  <w:num w:numId="2" w16cid:durableId="276178333">
    <w:abstractNumId w:val="0"/>
  </w:num>
  <w:num w:numId="3" w16cid:durableId="741606055">
    <w:abstractNumId w:val="2"/>
  </w:num>
  <w:num w:numId="4" w16cid:durableId="1935287387">
    <w:abstractNumId w:val="16"/>
  </w:num>
  <w:num w:numId="5" w16cid:durableId="1753619575">
    <w:abstractNumId w:val="21"/>
  </w:num>
  <w:num w:numId="6" w16cid:durableId="528227147">
    <w:abstractNumId w:val="6"/>
  </w:num>
  <w:num w:numId="7" w16cid:durableId="1151141409">
    <w:abstractNumId w:val="23"/>
  </w:num>
  <w:num w:numId="8" w16cid:durableId="1326208731">
    <w:abstractNumId w:val="20"/>
  </w:num>
  <w:num w:numId="9" w16cid:durableId="2096242991">
    <w:abstractNumId w:val="17"/>
  </w:num>
  <w:num w:numId="10" w16cid:durableId="964656557">
    <w:abstractNumId w:val="22"/>
  </w:num>
  <w:num w:numId="11" w16cid:durableId="724842134">
    <w:abstractNumId w:val="5"/>
  </w:num>
  <w:num w:numId="12" w16cid:durableId="1263489318">
    <w:abstractNumId w:val="29"/>
  </w:num>
  <w:num w:numId="13" w16cid:durableId="1656177574">
    <w:abstractNumId w:val="4"/>
  </w:num>
  <w:num w:numId="14" w16cid:durableId="1351568597">
    <w:abstractNumId w:val="1"/>
  </w:num>
  <w:num w:numId="15" w16cid:durableId="197086569">
    <w:abstractNumId w:val="7"/>
  </w:num>
  <w:num w:numId="16" w16cid:durableId="1700426356">
    <w:abstractNumId w:val="8"/>
  </w:num>
  <w:num w:numId="17" w16cid:durableId="517815193">
    <w:abstractNumId w:val="9"/>
  </w:num>
  <w:num w:numId="18" w16cid:durableId="1275752242">
    <w:abstractNumId w:val="19"/>
  </w:num>
  <w:num w:numId="19" w16cid:durableId="1417093260">
    <w:abstractNumId w:val="15"/>
  </w:num>
  <w:num w:numId="20" w16cid:durableId="925773427">
    <w:abstractNumId w:val="27"/>
  </w:num>
  <w:num w:numId="21" w16cid:durableId="306326423">
    <w:abstractNumId w:val="3"/>
  </w:num>
  <w:num w:numId="22" w16cid:durableId="1262372539">
    <w:abstractNumId w:val="14"/>
  </w:num>
  <w:num w:numId="23" w16cid:durableId="634524535">
    <w:abstractNumId w:val="13"/>
  </w:num>
  <w:num w:numId="24" w16cid:durableId="1509710620">
    <w:abstractNumId w:val="26"/>
  </w:num>
  <w:num w:numId="25" w16cid:durableId="475488186">
    <w:abstractNumId w:val="25"/>
  </w:num>
  <w:num w:numId="26" w16cid:durableId="577984225">
    <w:abstractNumId w:val="18"/>
  </w:num>
  <w:num w:numId="27" w16cid:durableId="236524678">
    <w:abstractNumId w:val="28"/>
  </w:num>
  <w:num w:numId="28" w16cid:durableId="1915163336">
    <w:abstractNumId w:val="11"/>
  </w:num>
  <w:num w:numId="29" w16cid:durableId="1180585837">
    <w:abstractNumId w:val="12"/>
  </w:num>
  <w:num w:numId="30" w16cid:durableId="13095211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2BE6"/>
    <w:rsid w:val="00004ACF"/>
    <w:rsid w:val="00011B8F"/>
    <w:rsid w:val="00042F87"/>
    <w:rsid w:val="00046278"/>
    <w:rsid w:val="000522DE"/>
    <w:rsid w:val="00071946"/>
    <w:rsid w:val="0007385C"/>
    <w:rsid w:val="00097DDE"/>
    <w:rsid w:val="000B045F"/>
    <w:rsid w:val="000B0B8C"/>
    <w:rsid w:val="000E1A1B"/>
    <w:rsid w:val="00110C08"/>
    <w:rsid w:val="00125EDD"/>
    <w:rsid w:val="00127E88"/>
    <w:rsid w:val="00146ED2"/>
    <w:rsid w:val="00154124"/>
    <w:rsid w:val="001663D5"/>
    <w:rsid w:val="0017600B"/>
    <w:rsid w:val="001828E1"/>
    <w:rsid w:val="0018724C"/>
    <w:rsid w:val="001B0613"/>
    <w:rsid w:val="001C19F4"/>
    <w:rsid w:val="001F7C18"/>
    <w:rsid w:val="0020337F"/>
    <w:rsid w:val="00205B4B"/>
    <w:rsid w:val="00214068"/>
    <w:rsid w:val="00222793"/>
    <w:rsid w:val="00226BAA"/>
    <w:rsid w:val="00227A45"/>
    <w:rsid w:val="0023172D"/>
    <w:rsid w:val="002415E8"/>
    <w:rsid w:val="00253E95"/>
    <w:rsid w:val="002559EB"/>
    <w:rsid w:val="002661E3"/>
    <w:rsid w:val="00271968"/>
    <w:rsid w:val="00275C28"/>
    <w:rsid w:val="00285987"/>
    <w:rsid w:val="002904E7"/>
    <w:rsid w:val="002A0877"/>
    <w:rsid w:val="002A48E5"/>
    <w:rsid w:val="002B37C9"/>
    <w:rsid w:val="002C31C6"/>
    <w:rsid w:val="002C74BB"/>
    <w:rsid w:val="002E21FA"/>
    <w:rsid w:val="002E379C"/>
    <w:rsid w:val="002E68AC"/>
    <w:rsid w:val="002E7C21"/>
    <w:rsid w:val="002F3C21"/>
    <w:rsid w:val="00301325"/>
    <w:rsid w:val="00302B97"/>
    <w:rsid w:val="0030660F"/>
    <w:rsid w:val="0031595A"/>
    <w:rsid w:val="00323D8C"/>
    <w:rsid w:val="00341CB4"/>
    <w:rsid w:val="0034356A"/>
    <w:rsid w:val="00367D24"/>
    <w:rsid w:val="00370B59"/>
    <w:rsid w:val="00372ECA"/>
    <w:rsid w:val="0039127D"/>
    <w:rsid w:val="003A141C"/>
    <w:rsid w:val="003A66A2"/>
    <w:rsid w:val="003B0C33"/>
    <w:rsid w:val="003B1FFF"/>
    <w:rsid w:val="003B2015"/>
    <w:rsid w:val="003C7439"/>
    <w:rsid w:val="003E41D4"/>
    <w:rsid w:val="00401DF9"/>
    <w:rsid w:val="00421E71"/>
    <w:rsid w:val="00422733"/>
    <w:rsid w:val="004563FB"/>
    <w:rsid w:val="00460441"/>
    <w:rsid w:val="004945D2"/>
    <w:rsid w:val="004A56D0"/>
    <w:rsid w:val="004B0D97"/>
    <w:rsid w:val="004C1401"/>
    <w:rsid w:val="004D0585"/>
    <w:rsid w:val="004F2C94"/>
    <w:rsid w:val="00504B42"/>
    <w:rsid w:val="00511429"/>
    <w:rsid w:val="00516597"/>
    <w:rsid w:val="00516DAF"/>
    <w:rsid w:val="00523634"/>
    <w:rsid w:val="0052648A"/>
    <w:rsid w:val="00540B8E"/>
    <w:rsid w:val="00543697"/>
    <w:rsid w:val="00543C13"/>
    <w:rsid w:val="00556286"/>
    <w:rsid w:val="00556880"/>
    <w:rsid w:val="00560D4B"/>
    <w:rsid w:val="005752C8"/>
    <w:rsid w:val="00582C3B"/>
    <w:rsid w:val="00586E75"/>
    <w:rsid w:val="00593642"/>
    <w:rsid w:val="005C6CB9"/>
    <w:rsid w:val="005D66C2"/>
    <w:rsid w:val="005E52BB"/>
    <w:rsid w:val="005F730B"/>
    <w:rsid w:val="00633543"/>
    <w:rsid w:val="0064631E"/>
    <w:rsid w:val="00664464"/>
    <w:rsid w:val="00667B84"/>
    <w:rsid w:val="006727BE"/>
    <w:rsid w:val="006738CE"/>
    <w:rsid w:val="00680CA4"/>
    <w:rsid w:val="006818F8"/>
    <w:rsid w:val="006855AC"/>
    <w:rsid w:val="00690ED5"/>
    <w:rsid w:val="00692032"/>
    <w:rsid w:val="006A7447"/>
    <w:rsid w:val="006A76FE"/>
    <w:rsid w:val="006B0E0F"/>
    <w:rsid w:val="006B2638"/>
    <w:rsid w:val="006D2AFF"/>
    <w:rsid w:val="006E0AE9"/>
    <w:rsid w:val="006F730F"/>
    <w:rsid w:val="007018D8"/>
    <w:rsid w:val="00705014"/>
    <w:rsid w:val="0070632C"/>
    <w:rsid w:val="0072106E"/>
    <w:rsid w:val="00752961"/>
    <w:rsid w:val="00753211"/>
    <w:rsid w:val="007621D1"/>
    <w:rsid w:val="0076351B"/>
    <w:rsid w:val="00771053"/>
    <w:rsid w:val="00773780"/>
    <w:rsid w:val="007B71D9"/>
    <w:rsid w:val="007E3189"/>
    <w:rsid w:val="007E49C0"/>
    <w:rsid w:val="007F13E3"/>
    <w:rsid w:val="00801478"/>
    <w:rsid w:val="00816D3E"/>
    <w:rsid w:val="00821175"/>
    <w:rsid w:val="0082235C"/>
    <w:rsid w:val="00825F5E"/>
    <w:rsid w:val="00890214"/>
    <w:rsid w:val="0089771A"/>
    <w:rsid w:val="008B00FC"/>
    <w:rsid w:val="008C20CD"/>
    <w:rsid w:val="008C608C"/>
    <w:rsid w:val="008D6DE6"/>
    <w:rsid w:val="008F1778"/>
    <w:rsid w:val="009015C8"/>
    <w:rsid w:val="00904E4C"/>
    <w:rsid w:val="0090669B"/>
    <w:rsid w:val="009169F8"/>
    <w:rsid w:val="00925A3A"/>
    <w:rsid w:val="0093198E"/>
    <w:rsid w:val="00946833"/>
    <w:rsid w:val="009534D5"/>
    <w:rsid w:val="00975340"/>
    <w:rsid w:val="00984C63"/>
    <w:rsid w:val="0099526C"/>
    <w:rsid w:val="009C07A6"/>
    <w:rsid w:val="009C497B"/>
    <w:rsid w:val="009D6FE1"/>
    <w:rsid w:val="009E5680"/>
    <w:rsid w:val="009F0F3F"/>
    <w:rsid w:val="009F1412"/>
    <w:rsid w:val="00A22A4B"/>
    <w:rsid w:val="00A25A5D"/>
    <w:rsid w:val="00A272D9"/>
    <w:rsid w:val="00A333A3"/>
    <w:rsid w:val="00A3361D"/>
    <w:rsid w:val="00A37CEF"/>
    <w:rsid w:val="00A5423E"/>
    <w:rsid w:val="00A60640"/>
    <w:rsid w:val="00A7799D"/>
    <w:rsid w:val="00A951B5"/>
    <w:rsid w:val="00A96DB3"/>
    <w:rsid w:val="00AA6CCC"/>
    <w:rsid w:val="00AC7ACA"/>
    <w:rsid w:val="00AD546F"/>
    <w:rsid w:val="00AD55E4"/>
    <w:rsid w:val="00AE1C58"/>
    <w:rsid w:val="00AF207B"/>
    <w:rsid w:val="00AF2ADB"/>
    <w:rsid w:val="00AF54AA"/>
    <w:rsid w:val="00AF6269"/>
    <w:rsid w:val="00B03D24"/>
    <w:rsid w:val="00B35350"/>
    <w:rsid w:val="00B40F6E"/>
    <w:rsid w:val="00B42B77"/>
    <w:rsid w:val="00B4571C"/>
    <w:rsid w:val="00B52C0B"/>
    <w:rsid w:val="00B54521"/>
    <w:rsid w:val="00B6421A"/>
    <w:rsid w:val="00B671A2"/>
    <w:rsid w:val="00B8218A"/>
    <w:rsid w:val="00BC19E0"/>
    <w:rsid w:val="00BC26B2"/>
    <w:rsid w:val="00BF05C4"/>
    <w:rsid w:val="00C23752"/>
    <w:rsid w:val="00C42092"/>
    <w:rsid w:val="00C476F7"/>
    <w:rsid w:val="00CC3ED4"/>
    <w:rsid w:val="00CC5B9A"/>
    <w:rsid w:val="00CC5FFA"/>
    <w:rsid w:val="00CD1ACE"/>
    <w:rsid w:val="00CE7110"/>
    <w:rsid w:val="00CF325A"/>
    <w:rsid w:val="00CF3E04"/>
    <w:rsid w:val="00CF75D3"/>
    <w:rsid w:val="00D25E76"/>
    <w:rsid w:val="00D3736F"/>
    <w:rsid w:val="00D60509"/>
    <w:rsid w:val="00DA31C3"/>
    <w:rsid w:val="00DC004D"/>
    <w:rsid w:val="00DE0ACD"/>
    <w:rsid w:val="00DF05E5"/>
    <w:rsid w:val="00DF4BCD"/>
    <w:rsid w:val="00E010D1"/>
    <w:rsid w:val="00E02445"/>
    <w:rsid w:val="00E0451E"/>
    <w:rsid w:val="00E210C6"/>
    <w:rsid w:val="00E242F2"/>
    <w:rsid w:val="00E307AE"/>
    <w:rsid w:val="00E324D7"/>
    <w:rsid w:val="00E4434F"/>
    <w:rsid w:val="00E51887"/>
    <w:rsid w:val="00E549B2"/>
    <w:rsid w:val="00E57003"/>
    <w:rsid w:val="00E5796C"/>
    <w:rsid w:val="00E751F4"/>
    <w:rsid w:val="00E76E43"/>
    <w:rsid w:val="00E8553E"/>
    <w:rsid w:val="00E97104"/>
    <w:rsid w:val="00EA3C4E"/>
    <w:rsid w:val="00EB7153"/>
    <w:rsid w:val="00ED7681"/>
    <w:rsid w:val="00EE146F"/>
    <w:rsid w:val="00EF442F"/>
    <w:rsid w:val="00EF476A"/>
    <w:rsid w:val="00EF49CD"/>
    <w:rsid w:val="00F0171B"/>
    <w:rsid w:val="00F0613B"/>
    <w:rsid w:val="00F12745"/>
    <w:rsid w:val="00F44EF7"/>
    <w:rsid w:val="00F47183"/>
    <w:rsid w:val="00F5459B"/>
    <w:rsid w:val="00F8145A"/>
    <w:rsid w:val="00F965A9"/>
    <w:rsid w:val="00FC4FAD"/>
    <w:rsid w:val="00FC7347"/>
    <w:rsid w:val="00FD4B25"/>
    <w:rsid w:val="00FE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592D8395-509E-4F6B-91B0-F7556466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qFormat/>
    <w:rsid w:val="00A37CE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A37CE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A37CEF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7CE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A37CEF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37CEF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14:ligatures w14:val="none"/>
    </w:rPr>
  </w:style>
  <w:style w:type="paragraph" w:customStyle="1" w:styleId="ZT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customStyle="1" w:styleId="ZH">
    <w:name w:val="ZH"/>
    <w:rsid w:val="00A37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7CEF"/>
    <w:rPr>
      <w:rFonts w:ascii="Times New Roman" w:eastAsia="SimSun" w:hAnsi="Times New Roman" w:cs="Times New Roman"/>
      <w:kern w:val="0"/>
      <w:sz w:val="16"/>
      <w:szCs w:val="20"/>
      <w14:ligatures w14:val="none"/>
    </w:rPr>
  </w:style>
  <w:style w:type="paragraph" w:customStyle="1" w:styleId="TAH">
    <w:name w:val="TAH"/>
    <w:basedOn w:val="TAC"/>
    <w:link w:val="TAHCar"/>
    <w:qFormat/>
    <w:rsid w:val="00A37CEF"/>
    <w:rPr>
      <w:b/>
    </w:rPr>
  </w:style>
  <w:style w:type="paragraph" w:customStyle="1" w:styleId="TAC">
    <w:name w:val="TAC"/>
    <w:basedOn w:val="TAL"/>
    <w:link w:val="TACChar"/>
    <w:qFormat/>
    <w:rsid w:val="00A37CEF"/>
    <w:pPr>
      <w:jc w:val="center"/>
    </w:pPr>
  </w:style>
  <w:style w:type="paragraph" w:customStyle="1" w:styleId="TF">
    <w:name w:val="TF"/>
    <w:basedOn w:val="TH"/>
    <w:rsid w:val="00A37CEF"/>
    <w:pPr>
      <w:keepNext w:val="0"/>
      <w:spacing w:before="0" w:after="240"/>
    </w:pPr>
  </w:style>
  <w:style w:type="paragraph" w:customStyle="1" w:styleId="NO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customStyle="1" w:styleId="EX">
    <w:name w:val="EX"/>
    <w:basedOn w:val="Normal"/>
    <w:rsid w:val="00A37CEF"/>
    <w:pPr>
      <w:keepLines/>
      <w:ind w:left="1702" w:hanging="1418"/>
    </w:pPr>
  </w:style>
  <w:style w:type="paragraph" w:customStyle="1" w:styleId="FP">
    <w:name w:val="FP"/>
    <w:basedOn w:val="Normal"/>
    <w:rsid w:val="00A37CEF"/>
    <w:pPr>
      <w:spacing w:after="0"/>
    </w:pPr>
  </w:style>
  <w:style w:type="paragraph" w:customStyle="1" w:styleId="LD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A37CEF"/>
    <w:pPr>
      <w:spacing w:after="0"/>
    </w:pPr>
  </w:style>
  <w:style w:type="paragraph" w:customStyle="1" w:styleId="EW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customStyle="1" w:styleId="EQ">
    <w:name w:val="EQ"/>
    <w:basedOn w:val="Normal"/>
    <w:next w:val="Normal"/>
    <w:link w:val="EQChar"/>
    <w:uiPriority w:val="99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A37CEF"/>
    <w:pPr>
      <w:jc w:val="right"/>
    </w:pPr>
  </w:style>
  <w:style w:type="paragraph" w:customStyle="1" w:styleId="H6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7CEF"/>
    <w:pPr>
      <w:ind w:left="851" w:hanging="851"/>
    </w:pPr>
  </w:style>
  <w:style w:type="paragraph" w:customStyle="1" w:styleId="TAL">
    <w:name w:val="TAL"/>
    <w:basedOn w:val="Normal"/>
    <w:link w:val="TALChar"/>
    <w:rsid w:val="00A37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7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A37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A37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A37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A37CEF"/>
    <w:pPr>
      <w:framePr w:wrap="notBeside" w:y="16161"/>
    </w:pPr>
  </w:style>
  <w:style w:type="character" w:customStyle="1" w:styleId="ZGSM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customStyle="1" w:styleId="ZG">
    <w:name w:val="ZG"/>
    <w:rsid w:val="00A37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customStyle="1" w:styleId="EditorsNote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customStyle="1" w:styleId="B1">
    <w:name w:val="B1"/>
    <w:basedOn w:val="List"/>
    <w:link w:val="B1Char1"/>
    <w:qFormat/>
    <w:rsid w:val="00A37CEF"/>
  </w:style>
  <w:style w:type="paragraph" w:customStyle="1" w:styleId="B2">
    <w:name w:val="B2"/>
    <w:basedOn w:val="List2"/>
    <w:link w:val="B2Char"/>
    <w:qFormat/>
    <w:rsid w:val="00A37CEF"/>
  </w:style>
  <w:style w:type="paragraph" w:customStyle="1" w:styleId="B3">
    <w:name w:val="B3"/>
    <w:basedOn w:val="List3"/>
    <w:link w:val="B3Char"/>
    <w:rsid w:val="00A37CEF"/>
  </w:style>
  <w:style w:type="paragraph" w:customStyle="1" w:styleId="B4">
    <w:name w:val="B4"/>
    <w:basedOn w:val="List4"/>
    <w:rsid w:val="00A37CEF"/>
  </w:style>
  <w:style w:type="paragraph" w:customStyle="1" w:styleId="B5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37CE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A37C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customStyle="1" w:styleId="BodyText3Char">
    <w:name w:val="Body Text 3 Char"/>
    <w:basedOn w:val="DefaultParagraphFont"/>
    <w:link w:val="BodyText3"/>
    <w:rsid w:val="00A37CEF"/>
    <w:rPr>
      <w:rFonts w:ascii="Times New Roman" w:eastAsia="SimSun" w:hAnsi="Times New Roma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7CEF"/>
    <w:rPr>
      <w:rFonts w:ascii="Tahoma" w:eastAsia="SimSun" w:hAnsi="Tahoma" w:cs="Times New Roman"/>
      <w:kern w:val="0"/>
      <w:sz w:val="20"/>
      <w:szCs w:val="20"/>
      <w:shd w:val="clear" w:color="auto" w:fill="000080"/>
      <w14:ligatures w14:val="none"/>
    </w:rPr>
  </w:style>
  <w:style w:type="paragraph" w:customStyle="1" w:styleId="Bulletedo1">
    <w:name w:val="Bulleted o 1"/>
    <w:basedOn w:val="Normal"/>
    <w:rsid w:val="00A37CEF"/>
    <w:pPr>
      <w:numPr>
        <w:numId w:val="1"/>
      </w:numPr>
    </w:pPr>
  </w:style>
  <w:style w:type="paragraph" w:customStyle="1" w:styleId="text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A37CE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37CEF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37CEF"/>
    <w:rPr>
      <w:rFonts w:ascii="Times" w:eastAsia="SimSun" w:hAnsi="Times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A37CEF"/>
    <w:rPr>
      <w:rFonts w:ascii="Arial" w:eastAsia="SimSun" w:hAnsi="Arial" w:cs="Times New Roman"/>
      <w:kern w:val="0"/>
      <w:szCs w:val="20"/>
      <w14:ligatures w14:val="none"/>
    </w:rPr>
  </w:style>
  <w:style w:type="paragraph" w:customStyle="1" w:styleId="body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A37CEF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37CEF"/>
  </w:style>
  <w:style w:type="character" w:styleId="CommentReference">
    <w:name w:val="annotation reference"/>
    <w:semiHidden/>
    <w:rsid w:val="00A37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CEF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37CEF"/>
    <w:rPr>
      <w:rFonts w:ascii="Times New Roman" w:eastAsia="SimSun" w:hAnsi="Times New Roma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CEF"/>
    <w:rPr>
      <w:rFonts w:ascii="Times New Roman" w:eastAsia="SimSun" w:hAnsi="Times New Roma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37CEF"/>
    <w:rPr>
      <w:rFonts w:ascii="Tahoma" w:eastAsia="SimSun" w:hAnsi="Tahoma" w:cs="Tahoma"/>
      <w:kern w:val="0"/>
      <w:sz w:val="16"/>
      <w:szCs w:val="16"/>
      <w14:ligatures w14:val="none"/>
    </w:rPr>
  </w:style>
  <w:style w:type="paragraph" w:customStyle="1" w:styleId="CRCoverPage">
    <w:name w:val="CR Cover Page"/>
    <w:rsid w:val="00A37CE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1">
    <w:name w:val="Heading 1 Char1"/>
    <w:link w:val="Heading1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CharChar3">
    <w:name w:val="Char Char3"/>
    <w:rsid w:val="00A37CE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37CE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37CE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37CE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7CEF"/>
    <w:rPr>
      <w:rFonts w:ascii="Cambria" w:eastAsia="SimSun" w:hAnsi="Cambria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link w:val="LGTdocChar"/>
    <w:qFormat/>
    <w:rsid w:val="00A37CE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customStyle="1" w:styleId="TACChar">
    <w:name w:val="TAC Char"/>
    <w:link w:val="TAC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A37CEF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eastAsia="Calibri" w:hAnsi="Calibri" w:cs="Times New Roman"/>
      <w:kern w:val="0"/>
      <w14:ligatures w14:val="none"/>
    </w:rPr>
  </w:style>
  <w:style w:type="paragraph" w:customStyle="1" w:styleId="References">
    <w:name w:val="References"/>
    <w:basedOn w:val="Normal"/>
    <w:qFormat/>
    <w:rsid w:val="00A37CE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A37CEF"/>
    <w:rPr>
      <w:rFonts w:ascii="New York" w:eastAsia="SimSun" w:hAnsi="New York" w:cs="Times New Roman"/>
      <w:kern w:val="0"/>
      <w:sz w:val="24"/>
      <w:szCs w:val="20"/>
      <w14:ligatures w14:val="none"/>
    </w:rPr>
  </w:style>
  <w:style w:type="character" w:customStyle="1" w:styleId="apple-converted-space">
    <w:name w:val="apple-converted-space"/>
    <w:basedOn w:val="DefaultParagraphFont"/>
    <w:rsid w:val="00A37CEF"/>
  </w:style>
  <w:style w:type="paragraph" w:customStyle="1" w:styleId="TdocHeader2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qFormat/>
    <w:locked/>
    <w:rsid w:val="00A37CEF"/>
    <w:rPr>
      <w:lang w:val="en-GB" w:eastAsia="en-US"/>
    </w:rPr>
  </w:style>
  <w:style w:type="character" w:customStyle="1" w:styleId="TAHCar">
    <w:name w:val="TAH Car"/>
    <w:link w:val="TAH"/>
    <w:qFormat/>
    <w:locked/>
    <w:rsid w:val="00A37CEF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B10">
    <w:name w:val="B1 (文字)"/>
    <w:qFormat/>
    <w:rsid w:val="00A37CEF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extintend3">
    <w:name w:val="text intend 3"/>
    <w:basedOn w:val="text"/>
    <w:rsid w:val="00A37CEF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customStyle="1" w:styleId="EQChar">
    <w:name w:val="EQ Char"/>
    <w:basedOn w:val="DefaultParagraphFont"/>
    <w:link w:val="EQ"/>
    <w:uiPriority w:val="99"/>
    <w:locked/>
    <w:rsid w:val="00A37CEF"/>
    <w:rPr>
      <w:rFonts w:ascii="Times New Roman" w:eastAsia="SimSun" w:hAnsi="Times New Roman" w:cs="Times New Roman"/>
      <w:noProof/>
      <w:kern w:val="0"/>
      <w:sz w:val="20"/>
      <w:szCs w:val="20"/>
      <w14:ligatures w14:val="none"/>
    </w:rPr>
  </w:style>
  <w:style w:type="character" w:customStyle="1" w:styleId="LGTdocChar">
    <w:name w:val="LGTdoc_본문 Char"/>
    <w:link w:val="LGTdoc"/>
    <w:qFormat/>
    <w:rsid w:val="00A37CEF"/>
    <w:rPr>
      <w:rFonts w:ascii="Times New Roman" w:eastAsia="Batang" w:hAnsi="Times New Roman" w:cs="Times New Roman"/>
      <w:szCs w:val="24"/>
      <w:lang w:eastAsia="ko-KR"/>
      <w14:ligatures w14:val="none"/>
    </w:rPr>
  </w:style>
  <w:style w:type="paragraph" w:customStyle="1" w:styleId="Style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A37CEF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ALChar">
    <w:name w:val="TAL Char"/>
    <w:link w:val="TAL"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1Char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Guidance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A37CEF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A37CEF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A37CEF"/>
  </w:style>
  <w:style w:type="character" w:customStyle="1" w:styleId="eop">
    <w:name w:val="eop"/>
    <w:basedOn w:val="DefaultParagraphFont"/>
    <w:rsid w:val="00A37CEF"/>
  </w:style>
  <w:style w:type="character" w:customStyle="1" w:styleId="normaltextrun">
    <w:name w:val="normaltextrun"/>
    <w:basedOn w:val="DefaultParagraphFont"/>
    <w:rsid w:val="00A37CEF"/>
  </w:style>
  <w:style w:type="character" w:customStyle="1" w:styleId="scxp37309694">
    <w:name w:val="scxp37309694"/>
    <w:basedOn w:val="DefaultParagraphFont"/>
    <w:rsid w:val="00D25E76"/>
  </w:style>
  <w:style w:type="character" w:customStyle="1" w:styleId="singleunderline">
    <w:name w:val="singleunderline"/>
    <w:basedOn w:val="DefaultParagraphFont"/>
    <w:rsid w:val="00D25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2</Pages>
  <Words>599</Words>
  <Characters>3416</Characters>
  <Application>Microsoft Office Word</Application>
  <DocSecurity>0</DocSecurity>
  <Lines>28</Lines>
  <Paragraphs>8</Paragraphs>
  <ScaleCrop>false</ScaleCrop>
  <Company>Qualcomm Incorporated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241</cp:revision>
  <dcterms:created xsi:type="dcterms:W3CDTF">2024-03-19T10:25:00Z</dcterms:created>
  <dcterms:modified xsi:type="dcterms:W3CDTF">2024-05-13T08:25:00Z</dcterms:modified>
</cp:coreProperties>
</file>